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930D3E">
        <w:t>286-2103/2024</w:t>
      </w:r>
    </w:p>
    <w:p w:rsidR="00B85848" w:rsidRPr="00B85848" w:rsidP="00C5576E">
      <w:pPr>
        <w:ind w:firstLine="540"/>
        <w:jc w:val="right"/>
      </w:pPr>
      <w:r w:rsidRPr="00B85848">
        <w:rPr>
          <w:bCs/>
        </w:rPr>
        <w:t xml:space="preserve">УИД </w:t>
      </w:r>
      <w:r w:rsidRPr="00930D3E" w:rsidR="00930D3E">
        <w:rPr>
          <w:bCs/>
        </w:rPr>
        <w:t>86MS0043-01-2024-000603-77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930D3E">
        <w:rPr>
          <w:sz w:val="28"/>
          <w:szCs w:val="28"/>
        </w:rPr>
        <w:t>14</w:t>
      </w:r>
      <w:r w:rsidR="00597B8C">
        <w:rPr>
          <w:sz w:val="28"/>
          <w:szCs w:val="28"/>
        </w:rPr>
        <w:t xml:space="preserve"> </w:t>
      </w:r>
      <w:r w:rsidR="00930D3E">
        <w:rPr>
          <w:sz w:val="28"/>
          <w:szCs w:val="28"/>
        </w:rPr>
        <w:t>марта 2024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Мир</w:t>
      </w:r>
      <w:r w:rsidR="00105DB7">
        <w:rPr>
          <w:sz w:val="28"/>
          <w:szCs w:val="28"/>
        </w:rPr>
        <w:t>овой судья судебного участка № 2</w:t>
      </w:r>
      <w:r w:rsidRPr="008E7F97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- Югры</w:t>
      </w:r>
      <w:r w:rsidRPr="008E7F97">
        <w:rPr>
          <w:sz w:val="28"/>
          <w:szCs w:val="28"/>
        </w:rPr>
        <w:t xml:space="preserve"> </w:t>
      </w:r>
      <w:r w:rsidR="00105DB7">
        <w:rPr>
          <w:sz w:val="28"/>
          <w:szCs w:val="28"/>
          <w:lang w:val="ru-RU"/>
        </w:rPr>
        <w:t>Трифонова Л.И.</w:t>
      </w:r>
      <w:r w:rsidRPr="008E7F97">
        <w:rPr>
          <w:sz w:val="28"/>
          <w:szCs w:val="28"/>
        </w:rPr>
        <w:t>,</w:t>
      </w:r>
      <w:r w:rsidRPr="0093453B" w:rsidR="0093453B">
        <w:rPr>
          <w:sz w:val="28"/>
          <w:szCs w:val="28"/>
          <w:lang w:val="ru-RU"/>
        </w:rPr>
        <w:t xml:space="preserve"> </w:t>
      </w:r>
      <w:r w:rsidR="0093453B">
        <w:rPr>
          <w:sz w:val="28"/>
          <w:szCs w:val="28"/>
          <w:lang w:val="ru-RU"/>
        </w:rPr>
        <w:t>исполняющий обязанности мирового судьи судебного участка №3</w:t>
      </w:r>
      <w:r w:rsidRPr="00A45923" w:rsidR="0093453B">
        <w:rPr>
          <w:sz w:val="28"/>
          <w:szCs w:val="28"/>
        </w:rPr>
        <w:t xml:space="preserve"> </w:t>
      </w:r>
      <w:r w:rsidRPr="008E7F97" w:rsidR="0093453B">
        <w:rPr>
          <w:sz w:val="28"/>
          <w:szCs w:val="28"/>
        </w:rPr>
        <w:t xml:space="preserve">Нижневартовского судебного района города окружного значения Нижневартовска Ханты - Мансийского автономного округа </w:t>
      </w:r>
      <w:r w:rsidR="0093453B">
        <w:rPr>
          <w:sz w:val="28"/>
          <w:szCs w:val="28"/>
        </w:rPr>
        <w:t>–</w:t>
      </w:r>
      <w:r w:rsidRPr="008E7F97" w:rsidR="0093453B">
        <w:rPr>
          <w:sz w:val="28"/>
          <w:szCs w:val="28"/>
        </w:rPr>
        <w:t xml:space="preserve"> Югры</w:t>
      </w:r>
      <w:r w:rsidR="0093453B">
        <w:rPr>
          <w:sz w:val="28"/>
          <w:szCs w:val="28"/>
          <w:lang w:val="ru-RU"/>
        </w:rPr>
        <w:t>, об</w:t>
      </w:r>
      <w:r w:rsidRPr="008E7F97" w:rsidR="0093453B">
        <w:rPr>
          <w:sz w:val="28"/>
          <w:szCs w:val="28"/>
        </w:rPr>
        <w:t xml:space="preserve">находящийся по адресу ул. </w:t>
      </w:r>
      <w:r w:rsidR="0093453B">
        <w:rPr>
          <w:sz w:val="28"/>
          <w:szCs w:val="28"/>
          <w:lang w:val="ru-RU"/>
        </w:rPr>
        <w:t>Нефтяников</w:t>
      </w:r>
      <w:r w:rsidRPr="008E7F97" w:rsidR="0093453B">
        <w:rPr>
          <w:sz w:val="28"/>
          <w:szCs w:val="28"/>
        </w:rPr>
        <w:t>,</w:t>
      </w:r>
      <w:r w:rsidR="0093453B">
        <w:rPr>
          <w:sz w:val="28"/>
          <w:szCs w:val="28"/>
          <w:lang w:val="ru-RU"/>
        </w:rPr>
        <w:t xml:space="preserve"> 6</w:t>
      </w:r>
      <w:r w:rsidRPr="008E7F97" w:rsidR="0093453B">
        <w:rPr>
          <w:sz w:val="28"/>
          <w:szCs w:val="28"/>
        </w:rPr>
        <w:t>, г. Нижневартовск</w:t>
      </w:r>
      <w:r w:rsidR="0093453B">
        <w:rPr>
          <w:sz w:val="28"/>
          <w:szCs w:val="28"/>
          <w:lang w:val="ru-RU"/>
        </w:rPr>
        <w:t>,</w:t>
      </w:r>
      <w:r w:rsidRPr="008E7F97">
        <w:rPr>
          <w:sz w:val="28"/>
          <w:szCs w:val="28"/>
        </w:rPr>
        <w:t xml:space="preserve">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Нижневартовск,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410925" w:rsidP="00C5576E">
      <w:pPr>
        <w:pStyle w:val="BodyTex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директора муниципального автономного образовательного учреждения дополнительного образования города Нижневартовска «Цен</w:t>
      </w:r>
      <w:r>
        <w:rPr>
          <w:sz w:val="28"/>
          <w:szCs w:val="28"/>
          <w:lang w:val="ru-RU"/>
        </w:rPr>
        <w:t>тр детского творчества</w:t>
      </w:r>
      <w:r w:rsidR="00597B8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Ахметзяновой Альбины Гаязовны, </w:t>
      </w:r>
      <w:r w:rsidR="009F14BF">
        <w:t>*****</w:t>
      </w:r>
      <w:r>
        <w:rPr>
          <w:sz w:val="28"/>
          <w:szCs w:val="28"/>
          <w:lang w:val="ru-RU"/>
        </w:rPr>
        <w:t xml:space="preserve">года рождения, уроженки г. </w:t>
      </w:r>
      <w:r w:rsidR="009F14BF">
        <w:t>*****</w:t>
      </w:r>
      <w:r>
        <w:rPr>
          <w:sz w:val="28"/>
          <w:szCs w:val="28"/>
          <w:lang w:val="ru-RU"/>
        </w:rPr>
        <w:t xml:space="preserve">, проживающей </w:t>
      </w:r>
      <w:r w:rsidR="009F14BF">
        <w:t>*****</w:t>
      </w:r>
      <w:r>
        <w:rPr>
          <w:sz w:val="28"/>
          <w:szCs w:val="28"/>
          <w:lang w:val="ru-RU"/>
        </w:rPr>
        <w:t xml:space="preserve">, </w:t>
      </w:r>
      <w:r w:rsidR="002E0ADD">
        <w:rPr>
          <w:sz w:val="28"/>
          <w:szCs w:val="28"/>
          <w:lang w:val="ru-RU"/>
        </w:rPr>
        <w:t xml:space="preserve">паспорт </w:t>
      </w:r>
      <w:r w:rsidR="009F14BF">
        <w:t>*****</w:t>
      </w:r>
    </w:p>
    <w:p w:rsidR="00C5576E" w:rsidRPr="008E7F97" w:rsidP="00C5576E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656A3E" w:rsidRPr="00805E69" w:rsidP="00805E69">
      <w:pPr>
        <w:pStyle w:val="10"/>
        <w:shd w:val="clear" w:color="auto" w:fill="auto"/>
        <w:spacing w:before="0" w:after="0" w:line="240" w:lineRule="auto"/>
        <w:ind w:left="23" w:right="60" w:firstLine="697"/>
        <w:rPr>
          <w:sz w:val="28"/>
          <w:szCs w:val="28"/>
        </w:rPr>
      </w:pPr>
      <w:r w:rsidRPr="00805E69">
        <w:rPr>
          <w:sz w:val="28"/>
          <w:szCs w:val="28"/>
        </w:rPr>
        <w:t xml:space="preserve">10.10.2022 года в </w:t>
      </w:r>
      <w:r w:rsidRPr="00805E69">
        <w:rPr>
          <w:sz w:val="28"/>
          <w:szCs w:val="28"/>
        </w:rPr>
        <w:t>течение рабочего времени с 09-00 часов до 1</w:t>
      </w:r>
      <w:r w:rsidR="00861D9D">
        <w:rPr>
          <w:sz w:val="28"/>
          <w:szCs w:val="28"/>
        </w:rPr>
        <w:t>8-00 часов Ахметзяновой А.Г.</w:t>
      </w:r>
      <w:r w:rsidRPr="00805E69">
        <w:rPr>
          <w:sz w:val="28"/>
          <w:szCs w:val="28"/>
        </w:rPr>
        <w:t>, директором муниципального автономного учреждения дополнительного образования города Нижневартовска «Центр детского творчества» (далее также - МАУДО «ЦДТ», Учреждение), находившейся по</w:t>
      </w:r>
      <w:r w:rsidRPr="00805E69">
        <w:rPr>
          <w:sz w:val="28"/>
          <w:szCs w:val="28"/>
        </w:rPr>
        <w:t xml:space="preserve"> адресу: Ханты-Мансийский автономный округ-Югра, город Нижневартовск, улица Ленина, дом 9а, допущено нецелевое использование бюджетных средств, выразившееся в направлении полученных из бюджета города Нижневартовска средств субсидии, предоставленной на фина</w:t>
      </w:r>
      <w:r w:rsidRPr="00805E69">
        <w:rPr>
          <w:sz w:val="28"/>
          <w:szCs w:val="28"/>
        </w:rPr>
        <w:t>нсовое обеспечение выполнения муниципального задания на оказание муниципальных услуг (выполнение работ) на 2022 год, на цели, не соответствующие целям, предусмотренным в соглашении № 72 о порядке и условиях предоставлении субсидии на финансовое обеспечение</w:t>
      </w:r>
      <w:r w:rsidRPr="00805E69">
        <w:rPr>
          <w:sz w:val="28"/>
          <w:szCs w:val="28"/>
        </w:rPr>
        <w:t xml:space="preserve"> выполнения муниципального задания (на 2022 год и плановый период 2023-2024 годов) на оказание муниципальных услуг (выполнение работ) от 29.12.2021 года (далее - Соглашение № 72), на основании которого бюджетные средства были предоставлены, а именно на вып</w:t>
      </w:r>
      <w:r w:rsidRPr="00805E69">
        <w:rPr>
          <w:sz w:val="28"/>
          <w:szCs w:val="28"/>
        </w:rPr>
        <w:t>лату составной части заработной платы за сентябрь2022 года отдельным работникам на общую сумму 123 500,00 рублей с учетом НДФЛ, начисленной в нарушение Положения о системе оплаты труда работников Учреждения (далее - Положение о СОТ), Положения о единовреме</w:t>
      </w:r>
      <w:r w:rsidRPr="00805E69">
        <w:rPr>
          <w:sz w:val="28"/>
          <w:szCs w:val="28"/>
        </w:rPr>
        <w:t>нной (разовой) стимулирующей выплате за особые достижения при выполнении услуг (работ) (далее - Положение о разовой выплате), утвержденных приказом Учреждения от 09.11.2017 №667 «Об установлении системы оплаты труда работникам муниципального автономного уч</w:t>
      </w:r>
      <w:r w:rsidRPr="00805E69">
        <w:rPr>
          <w:sz w:val="28"/>
          <w:szCs w:val="28"/>
        </w:rPr>
        <w:t>реждения дополнительного образования города Нижневартовска «Центр детского творчества».</w:t>
      </w:r>
    </w:p>
    <w:p w:rsidR="00656A3E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 xml:space="preserve">Контрольно-счетным органом муниципального образования - счетной палатой города Нижневартовска в ходе контрольного мероприятия «Проверка законности, эффективности и </w:t>
      </w:r>
      <w:r w:rsidRPr="00805E69">
        <w:rPr>
          <w:sz w:val="28"/>
          <w:szCs w:val="28"/>
        </w:rPr>
        <w:t xml:space="preserve">целевого использования средств, полученных из бюджета города в форме субсидий, муниципальным автономным учреждением дополнительного образования города Нижневартовска «Центр детского творчества» за 2022 год и истекший период 2023 года (выборочная основа)», </w:t>
      </w:r>
      <w:r w:rsidRPr="00805E69">
        <w:rPr>
          <w:sz w:val="28"/>
          <w:szCs w:val="28"/>
        </w:rPr>
        <w:t>проведенного на основании статьи 10 Положения о контрольно- счетном органе муниципального образования - счетной палате города Нижневартовска, утвержденного решением Думы города Нижневартовска от 22.09.2021 № 823, пункта 1.30 Плана деятельности контрольно-с</w:t>
      </w:r>
      <w:r w:rsidRPr="00805E69">
        <w:rPr>
          <w:sz w:val="28"/>
          <w:szCs w:val="28"/>
        </w:rPr>
        <w:t xml:space="preserve">четного органа муниципального образования - счетной палаты города Нижневартовска на 2023 год, утвержденного постановлением Счетной палаты города Нижневартовска от 20.12.2022 №24, распоряжения контрольно-счетного органа муниципального образования - счетной </w:t>
      </w:r>
      <w:r w:rsidRPr="00805E69">
        <w:rPr>
          <w:sz w:val="28"/>
          <w:szCs w:val="28"/>
        </w:rPr>
        <w:t>палаты города Нижневартовска от 24.10.2023 № 75 «О проведении контрольного мероприятия» (с изменением от 27.10.2023 года), выявлен факт нецелевого использования бюджетных средств в сумме 123 500,00 рублей, что подтверждается следующим.</w:t>
      </w:r>
    </w:p>
    <w:p w:rsidR="00656A3E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Статьей 38 Бюджетног</w:t>
      </w:r>
      <w:r w:rsidRPr="00805E69">
        <w:rPr>
          <w:sz w:val="28"/>
          <w:szCs w:val="28"/>
        </w:rPr>
        <w:t>о кодекса Российской Федерации (далее - БК РФ) установлено, что принцип адресности и целевого характера бюджетных средств означает, что бюджетные ассигнования и лимиты бюджетных обязательств доводятся до конкретных получателей бюджетных средств с указанием</w:t>
      </w:r>
      <w:r w:rsidRPr="00805E69">
        <w:rPr>
          <w:sz w:val="28"/>
          <w:szCs w:val="28"/>
        </w:rPr>
        <w:t xml:space="preserve"> цели их использования. На основании части 1 статьи 306.4 БК РФ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целях, не соответствующих полностью ил</w:t>
      </w:r>
      <w:r w:rsidRPr="00805E69">
        <w:rPr>
          <w:sz w:val="28"/>
          <w:szCs w:val="28"/>
        </w:rPr>
        <w:t xml:space="preserve">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</w:t>
      </w:r>
      <w:r w:rsidRPr="00805E69">
        <w:rPr>
          <w:sz w:val="28"/>
          <w:szCs w:val="28"/>
        </w:rPr>
        <w:t>средств.</w:t>
      </w:r>
    </w:p>
    <w:p w:rsidR="00656A3E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 xml:space="preserve">Из содержания части 2 статьи 4 Федерального закона от 03.11.2006 № 174-ФЗ «Об автономных учреждениях» (далее - Закон № 174-ФЗ) следует, что в соответствии с видами деятельности, отнесенными уставом муниципального автономного учреждения к основной </w:t>
      </w:r>
      <w:r w:rsidRPr="00805E69">
        <w:rPr>
          <w:sz w:val="28"/>
          <w:szCs w:val="28"/>
        </w:rPr>
        <w:t xml:space="preserve">деятельности, учредителем для такого учреждения формируется и утверждается муниципальное задание. В силу части 4 статьи 4 Закона № 174-ФЗ финансовое обеспечение выполнения муниципального задания осуществляется в виде субсидий из бюджетов бюджетной системы </w:t>
      </w:r>
      <w:r w:rsidRPr="00805E69">
        <w:rPr>
          <w:sz w:val="28"/>
          <w:szCs w:val="28"/>
        </w:rPr>
        <w:t>Российской Федерации и иных не запрещенных федеральными законами источников. Согласно абзацу второму пункта 4 статьи 69.2 БК РФ объем финансового обеспечения выполнения муниципального задания рассчитывается на основании нормативных затрат на оказание муниц</w:t>
      </w:r>
      <w:r w:rsidRPr="00805E69">
        <w:rPr>
          <w:sz w:val="28"/>
          <w:szCs w:val="28"/>
        </w:rPr>
        <w:t>ипальных услуг, утверждаемых в порядке, установленном местной администрацией.</w:t>
      </w:r>
    </w:p>
    <w:p w:rsidR="00656A3E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 xml:space="preserve">В соответствии с пунктом 3.3 Порядка формирования, финансового обеспечения выполнения муниципального задания на оказание </w:t>
      </w:r>
      <w:r w:rsidRPr="00805E69">
        <w:rPr>
          <w:sz w:val="28"/>
          <w:szCs w:val="28"/>
        </w:rPr>
        <w:t>муниципальных услуг (выполнение работ) муниципальными учр</w:t>
      </w:r>
      <w:r w:rsidRPr="00805E69">
        <w:rPr>
          <w:sz w:val="28"/>
          <w:szCs w:val="28"/>
        </w:rPr>
        <w:t xml:space="preserve">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задания, утвержденного . постановлением администрации города Нижневартовска от 21.12.2015 № 2291 </w:t>
      </w:r>
      <w:r w:rsidRPr="00805E69">
        <w:rPr>
          <w:sz w:val="28"/>
          <w:szCs w:val="28"/>
        </w:rPr>
        <w:t>(далее - Порядок № 2291),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Порядком № 2291 базового норматива з</w:t>
      </w:r>
      <w:r w:rsidRPr="00805E69">
        <w:rPr>
          <w:sz w:val="28"/>
          <w:szCs w:val="28"/>
        </w:rPr>
        <w:t>атрат и отраслевых корректирующих коэффициентов к базовым нормативам затрат.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Согласно абзацу второму пункта 3.7 Порядка № 2291 базовый норматив затрат на оказание муниципальной услуги состоит из базового норматива затрат, непосредственно связанных с оказан</w:t>
      </w:r>
      <w:r w:rsidRPr="00805E69">
        <w:rPr>
          <w:sz w:val="28"/>
          <w:szCs w:val="28"/>
        </w:rPr>
        <w:t>ием муниципальной услуги и на общехозяйственные нужды на оказание муниципальной услуги. В силу пункта 3.9.6 Порядка № 2291 в базовый норматив затрат на общехозяйственные нужды на оказание муниципальной услуги включаются затраты на оплату труда с начисления</w:t>
      </w:r>
      <w:r w:rsidRPr="00805E69">
        <w:rPr>
          <w:sz w:val="28"/>
          <w:szCs w:val="28"/>
        </w:rPr>
        <w:t>ми на выплаты по оплате труда работников, которые не принимают непосредственного участия в оказании муниципальной услуги, в соответствии с трудовым законодательством и иными нормативными правовыми актами, содержащими нормы трудового права.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На 2022 год субс</w:t>
      </w:r>
      <w:r w:rsidRPr="00805E69">
        <w:rPr>
          <w:sz w:val="28"/>
          <w:szCs w:val="28"/>
        </w:rPr>
        <w:t>идия на финансовое обеспечение выполнения муниципального задания предоставлена Учреждению на основании Соглашения № 72, в соответствии с пунктом 4.3.7 которого Учреждение обязуется обеспечить целевое использование средств соответствующей субсидии.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 xml:space="preserve">Пунктом </w:t>
      </w:r>
      <w:r w:rsidRPr="00805E69">
        <w:rPr>
          <w:sz w:val="28"/>
          <w:szCs w:val="28"/>
        </w:rPr>
        <w:t>4 статьи 86 БК РФ предусмотрено, что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БК РФ. На основании статьи 135 Трудового кодекса Россий</w:t>
      </w:r>
      <w:r w:rsidRPr="00805E69">
        <w:rPr>
          <w:sz w:val="28"/>
          <w:szCs w:val="28"/>
        </w:rPr>
        <w:t xml:space="preserve">ской Федерации (далее - ТК РФ) заработная плата работнику устанавливается трудовым договором в соответствии с действующими у данного работодателя системами оплаты труда. Системы оплаты труда, включая размеры тарифных ставок, окладов (должностных окладов), </w:t>
      </w:r>
      <w:r w:rsidRPr="00805E69">
        <w:rPr>
          <w:sz w:val="28"/>
          <w:szCs w:val="28"/>
        </w:rPr>
        <w:t>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</w:t>
      </w:r>
      <w:r w:rsidRPr="00805E69">
        <w:rPr>
          <w:sz w:val="28"/>
          <w:szCs w:val="28"/>
        </w:rPr>
        <w:t>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В силу абзаца четвертого статьи 144 ТК РФ системы оплаты труда работников муниципальных учреждений устанавливаются коллекти</w:t>
      </w:r>
      <w:r w:rsidRPr="00805E69">
        <w:rPr>
          <w:sz w:val="28"/>
          <w:szCs w:val="28"/>
        </w:rPr>
        <w:t xml:space="preserve">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Pr="00805E69">
        <w:rPr>
          <w:sz w:val="28"/>
          <w:szCs w:val="28"/>
        </w:rPr>
        <w:t xml:space="preserve">субъектов Российской Федерации, и нормативными </w:t>
      </w:r>
      <w:r w:rsidRPr="00805E69">
        <w:rPr>
          <w:sz w:val="28"/>
          <w:szCs w:val="28"/>
        </w:rPr>
        <w:t>правовыми актами органов местного самоуправления.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На основании абзаца второго пункта 3 статьи 43 Устава города Нижневартовска, утвержденного решением Думы города Нижневартовска от 20.06.2005 № 502, размеры и условия оплаты труда руководителей муниципальных</w:t>
      </w:r>
      <w:r w:rsidRPr="00805E69">
        <w:rPr>
          <w:sz w:val="28"/>
          <w:szCs w:val="28"/>
        </w:rPr>
        <w:t xml:space="preserve"> предприятий и работников муниципальных учреждений устанавливаются постановлением администрации города.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Функции и полномочия учредителя в отношении муниципальных образовательных организаций города Нижневартовска в соответствии с постановлением администраци</w:t>
      </w:r>
      <w:r w:rsidRPr="00805E69">
        <w:rPr>
          <w:sz w:val="28"/>
          <w:szCs w:val="28"/>
        </w:rPr>
        <w:t>и города от 05.08.2015 № 1476 «О наделении структурных подразделений администрации города Нижневартовска функциями и полномочиями учредителя муниципальных учреждений» осуществляет департамент образования администрации города Нижневартовска. Рассматриваемые</w:t>
      </w:r>
      <w:r w:rsidRPr="00805E69">
        <w:rPr>
          <w:sz w:val="28"/>
          <w:szCs w:val="28"/>
        </w:rPr>
        <w:t xml:space="preserve"> правоотношения призвано урегулировать постановление администрации города от 31.10.2017 № 1604 «Об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</w:t>
      </w:r>
      <w:r w:rsidRPr="00805E69">
        <w:rPr>
          <w:sz w:val="28"/>
          <w:szCs w:val="28"/>
        </w:rPr>
        <w:t>истрации города» (далее - Положение № 1604), в соответствии с которым в силу требований статьи 144 ТК РФ Учреждением сформирована система оплаты труда работников.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Таким образом, на основании Соглашения № 72 Учреждению в 2022 году в рамках субсидии на финан</w:t>
      </w:r>
      <w:r w:rsidRPr="00805E69">
        <w:rPr>
          <w:sz w:val="28"/>
          <w:szCs w:val="28"/>
        </w:rPr>
        <w:t>совое обеспечение выполнения муниципального задания предоставлены средства на оплату труда работников, целевое расходование которых осуществляется в четком соответствии с утвержденными Учреждением локальными нормативными актами, формируемыми согласно Полож</w:t>
      </w:r>
      <w:r w:rsidRPr="00805E69">
        <w:rPr>
          <w:sz w:val="28"/>
          <w:szCs w:val="28"/>
        </w:rPr>
        <w:t>ению № 1604.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Оплата труда работников Учреждения в проверяемом периоде регулировалась Положением о системе оплаты труда работников Учреждения, утвержденным приказом Учреждения от 09.11.2017 № 667.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 xml:space="preserve">Согласно абзацу первому пункта 1.8 Положения № 1604, абзацу </w:t>
      </w:r>
      <w:r w:rsidRPr="00805E69">
        <w:rPr>
          <w:sz w:val="28"/>
          <w:szCs w:val="28"/>
        </w:rPr>
        <w:t>первому пункта 1.8 Положения о СОТ заработная плата работников состоит из должностного оклада, оклада рабочего, компенсационных, стимулирующих и иных выплат, установленных настоящим Положением.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 xml:space="preserve">В соответствии с абзацем третьим пункта 5.1 Положения № 1604, </w:t>
      </w:r>
      <w:r w:rsidRPr="00805E69">
        <w:rPr>
          <w:sz w:val="28"/>
          <w:szCs w:val="28"/>
        </w:rPr>
        <w:t>абзацем третьим пункта 5.1 Положения о СОТ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работу, в частности за качество выполняемых работ.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 xml:space="preserve">В силу пункта </w:t>
      </w:r>
      <w:r w:rsidRPr="00805E69">
        <w:rPr>
          <w:sz w:val="28"/>
          <w:szCs w:val="28"/>
        </w:rPr>
        <w:t>5.4 Положения № 1604 может быть уставлена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</w:t>
      </w:r>
      <w:r w:rsidRPr="00805E69">
        <w:rPr>
          <w:sz w:val="28"/>
          <w:szCs w:val="28"/>
        </w:rPr>
        <w:t>ативным актом организации. Аналогичная норма установлено пунктом 5.4 Положения о СОТ.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Во исполнение указанной нормы Положения № 1604 Учреждением принято Положение о единовременной (разовой) стимулирующей выплате за особые достижения при выполнении услуг (р</w:t>
      </w:r>
      <w:r w:rsidRPr="00805E69">
        <w:rPr>
          <w:sz w:val="28"/>
          <w:szCs w:val="28"/>
        </w:rPr>
        <w:t xml:space="preserve">абот) работникам муниципального автономного учреждения дополнительного образования города Нижневартовска «Центр детского творчества», являющееся приложением 3 к Положению о СОТ (далее - Положение о разовой выплате), пунктом 2.1 которого предусмотрено, что </w:t>
      </w:r>
      <w:r w:rsidRPr="00805E69">
        <w:rPr>
          <w:sz w:val="28"/>
          <w:szCs w:val="28"/>
        </w:rPr>
        <w:t>единовременная (разовая) стимулирующая выплата за особые достижения при выполнении услуг (работ) (далее - разовая выплата) осуществляется в соответствии с показателями и критериями оценки эффективности деятельности работников Учреждения, предусмотренными П</w:t>
      </w:r>
      <w:r w:rsidRPr="00805E69">
        <w:rPr>
          <w:sz w:val="28"/>
          <w:szCs w:val="28"/>
        </w:rPr>
        <w:t>оложением о разовой выплате в составе приложений к нему.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Приложением 1 к Положению о разовой выплате утверждены показатели и критерии оценки эффективности деятельности работников МАУДО «ЦДТ». Из пункта 2.6 Положения о разовой выплате следует, что решение о</w:t>
      </w:r>
      <w:r w:rsidRPr="00805E69">
        <w:rPr>
          <w:sz w:val="28"/>
          <w:szCs w:val="28"/>
        </w:rPr>
        <w:t xml:space="preserve"> выплате премии принимает директор Учреждения.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В ходе контрольного мероприятия выявлено осуществление единовременного (разового) премирования работников за особые достижения при выполнении работ на основании приказа от 30.09.2022 № 274-л «О стимулирующих в</w:t>
      </w:r>
      <w:r w:rsidRPr="00805E69">
        <w:rPr>
          <w:sz w:val="28"/>
          <w:szCs w:val="28"/>
        </w:rPr>
        <w:t xml:space="preserve">ыплатах за особые достижения при выполнении работ» (далее - Приказ № 274-л), согласно которому за качественное и своевременное выполнение ремонтных работ с 01 августа по 30 сентября 2022 года четырнадцати работникам назначена разовая выплата в размерах от </w:t>
      </w:r>
      <w:r w:rsidRPr="00805E69">
        <w:rPr>
          <w:sz w:val="28"/>
          <w:szCs w:val="28"/>
        </w:rPr>
        <w:t>3 500,00 рублей до 12 000,00 рублей каждому на общую сумму 123 500,00 рублей (за счет субсидии на финансовое обеспечение выполнения муниципального задания), а именно: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6 000,00 рублей;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6 000,00 рублей;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12 000,00 рублей;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12 000,00 рублей;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6 000,00 рублей;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12 000,00 рублей;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6 000,00 рублей;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12 000,00 рублей;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 xml:space="preserve">в </w:t>
      </w:r>
      <w:r w:rsidRPr="00805E69" w:rsidR="0004689F">
        <w:rPr>
          <w:sz w:val="28"/>
          <w:szCs w:val="28"/>
        </w:rPr>
        <w:t>сумме 3 500,00 рублей;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12 000,00 рублей;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12 000,00 рублей;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6 000,00 рублей;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12 000,00 рублей;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>
        <w:t>*****</w:t>
      </w:r>
      <w:r w:rsidRPr="00805E69" w:rsidR="0004689F">
        <w:rPr>
          <w:sz w:val="28"/>
          <w:szCs w:val="28"/>
        </w:rPr>
        <w:t>. в сумме 6 000,00 рублей.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На имя директора Учреждения п</w:t>
      </w:r>
      <w:r w:rsidRPr="00805E69">
        <w:rPr>
          <w:sz w:val="28"/>
          <w:szCs w:val="28"/>
        </w:rPr>
        <w:t xml:space="preserve">оступила служебная записка </w:t>
      </w:r>
      <w:r w:rsidR="009F14BF">
        <w:t>*****</w:t>
      </w:r>
      <w:r w:rsidRPr="00805E69">
        <w:rPr>
          <w:sz w:val="28"/>
          <w:szCs w:val="28"/>
        </w:rPr>
        <w:t>., заместителя директора по АХР, от 30.09.2022 года (далее - Служебная записка) с просьбой осуществить разовую выплату четырнадцати работникам за выполнение ремонтных работ в период с 01.08.2022 года по 30.09.2022 г</w:t>
      </w:r>
      <w:r w:rsidRPr="00805E69">
        <w:rPr>
          <w:sz w:val="28"/>
          <w:szCs w:val="28"/>
        </w:rPr>
        <w:t xml:space="preserve">ода </w:t>
      </w:r>
      <w:r w:rsidRPr="00805E69">
        <w:rPr>
          <w:sz w:val="28"/>
          <w:szCs w:val="28"/>
        </w:rPr>
        <w:t>согласно приказам от 16.05.2022 № 267, от 30.09.2022 № 497.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Дополнительно к проверке представлены приказы МАУДО «ЦДТ» от 16.05.2022 № 267 «О поручении работникам выполнения особо важных заданий», согласно которому утвержден План выполнения особо важных</w:t>
      </w:r>
      <w:r w:rsidRPr="00805E69">
        <w:rPr>
          <w:sz w:val="28"/>
          <w:szCs w:val="28"/>
        </w:rPr>
        <w:t xml:space="preserve"> заданий или поручений с указанием видов ремонтных работ и их исполнителей и от 30.09.2022 № 497 «О выполнении работниками особо важных заданий или поручений», в соответствии с которым утвержден отчет об исполнении Плана выполнения особо важных заданий или</w:t>
      </w:r>
      <w:r w:rsidRPr="00805E69">
        <w:rPr>
          <w:sz w:val="28"/>
          <w:szCs w:val="28"/>
        </w:rPr>
        <w:t xml:space="preserve"> поручений с указанием выполненных видов ремонтных работ, сроков исполнения, исполнителей.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В результате анализа правомерности назначения рассматриваемой разовой выплаты на предмет соответствии Положению о разовой выплате, выявлено, что показатели для ее ос</w:t>
      </w:r>
      <w:r w:rsidRPr="00805E69">
        <w:rPr>
          <w:sz w:val="28"/>
          <w:szCs w:val="28"/>
        </w:rPr>
        <w:t>уществления на основании Приказа № 274-л, а именно «за качественное и своевременное выполнение ремонтных работ», отсутствуют в приложении 1 к Положению разовой выплате.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Из вышеизложенного следует, что разовая выплата в размере 123 500,00 рублей, осуществле</w:t>
      </w:r>
      <w:r w:rsidRPr="00805E69">
        <w:rPr>
          <w:sz w:val="28"/>
          <w:szCs w:val="28"/>
        </w:rPr>
        <w:t>нная на основании Приказа № 274-л за качественное и своевременное выполнение ремонтных работ четырнадцати работникам Учреждения, произведена в нарушение пункта 5.4 Положения № 1604, пункта 2.1 Положения о разовой выплате.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Пунктом 1.12 Положения № 1604, пун</w:t>
      </w:r>
      <w:r w:rsidRPr="00805E69">
        <w:rPr>
          <w:sz w:val="28"/>
          <w:szCs w:val="28"/>
        </w:rPr>
        <w:t>ктом 3.1 Положения о разовой выплате предусмотрено, что финансирование расходов, направляемых на оплату труда работников Учреждения, осуществляется за счет субсидии на финансовое обеспечение выполнения муниципального задания.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Фактически расходование соотве</w:t>
      </w:r>
      <w:r w:rsidRPr="00805E69">
        <w:rPr>
          <w:sz w:val="28"/>
          <w:szCs w:val="28"/>
        </w:rPr>
        <w:t>тствующих средств осуществлено на основании платежных поручений от 10.10.2022 № 1460, № 1461, № 1462 на выплату заработной платы за сентябрь 2022 года, от 10.10.2022 № 1469 на перечисление НДФЛ за сентябрь 2022 года.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В соответствии с пунктом 5.3 Устава Учр</w:t>
      </w:r>
      <w:r w:rsidRPr="00805E69">
        <w:rPr>
          <w:sz w:val="28"/>
          <w:szCs w:val="28"/>
        </w:rPr>
        <w:t>еждения, утвержденного приказом департамента муниципальной собственности и земельных ресурсов администрации города от 10.05.2016 № 874/36-01-П (далее - Устав Учреждения), единоличным исполнительным органом автономного учреждения является руководитель автон</w:t>
      </w:r>
      <w:r w:rsidRPr="00805E69">
        <w:rPr>
          <w:sz w:val="28"/>
          <w:szCs w:val="28"/>
        </w:rPr>
        <w:t>омного учреждения (далее -директор).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>
        <w:t>*****</w:t>
      </w:r>
      <w:r w:rsidR="0004689F">
        <w:rPr>
          <w:sz w:val="28"/>
          <w:szCs w:val="28"/>
        </w:rPr>
        <w:t>.</w:t>
      </w:r>
      <w:r w:rsidRPr="00805E69" w:rsidR="0004689F">
        <w:rPr>
          <w:sz w:val="28"/>
          <w:szCs w:val="28"/>
        </w:rPr>
        <w:t>, замещает должность директора Учреждения на основании трудового договора от 31.05.2022 № 95, распоряжения администрации города Нижневартовска от 31.05.2022 № 268-лс «О назначении».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В силу подпунктов «а»</w:t>
      </w:r>
      <w:r w:rsidRPr="00805E69">
        <w:rPr>
          <w:sz w:val="28"/>
          <w:szCs w:val="28"/>
        </w:rPr>
        <w:t>, «г» пункта 2.4 трудового договора от 31.05.2022 №95 директор Учреждения обязан: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right="20" w:firstLine="697"/>
        <w:rPr>
          <w:sz w:val="28"/>
          <w:szCs w:val="28"/>
        </w:rPr>
      </w:pPr>
      <w:r w:rsidRPr="00805E69">
        <w:rPr>
          <w:sz w:val="28"/>
          <w:szCs w:val="28"/>
        </w:rPr>
        <w:t>соблюдать при исполнении должностных обязанностей требования законодательства Российской Федерации, нормативных правовых актов органов местного самоуправления города Нижневар</w:t>
      </w:r>
      <w:r w:rsidRPr="00805E69">
        <w:rPr>
          <w:sz w:val="28"/>
          <w:szCs w:val="28"/>
        </w:rPr>
        <w:t>товска, локальных нормативных актов и трудового договора от 31.05.2022 № 95;</w:t>
      </w:r>
    </w:p>
    <w:p w:rsidR="00FA5178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 w:rsidRPr="00805E69">
        <w:rPr>
          <w:sz w:val="28"/>
          <w:szCs w:val="28"/>
        </w:rPr>
        <w:t>обеспечивать целевое и эффективное использование денежных средств Учреждения.</w:t>
      </w:r>
    </w:p>
    <w:p w:rsidR="00934571" w:rsidRPr="00805E69" w:rsidP="00805E69">
      <w:pPr>
        <w:pStyle w:val="10"/>
        <w:shd w:val="clear" w:color="auto" w:fill="auto"/>
        <w:spacing w:before="0" w:after="0" w:line="240" w:lineRule="auto"/>
        <w:ind w:left="23" w:firstLine="697"/>
        <w:rPr>
          <w:sz w:val="28"/>
          <w:szCs w:val="28"/>
        </w:rPr>
      </w:pPr>
      <w:r w:rsidRPr="00805E69">
        <w:rPr>
          <w:sz w:val="28"/>
          <w:szCs w:val="28"/>
        </w:rPr>
        <w:t>Таки</w:t>
      </w:r>
      <w:r w:rsidR="00861D9D">
        <w:rPr>
          <w:sz w:val="28"/>
          <w:szCs w:val="28"/>
        </w:rPr>
        <w:t>м образом, Ахметзяновой А.Г.</w:t>
      </w:r>
      <w:r w:rsidRPr="00805E69">
        <w:rPr>
          <w:sz w:val="28"/>
          <w:szCs w:val="28"/>
        </w:rPr>
        <w:t>, являющейся единоличным исполнительным органом - директором муниципа</w:t>
      </w:r>
      <w:r w:rsidRPr="00805E69">
        <w:rPr>
          <w:sz w:val="28"/>
          <w:szCs w:val="28"/>
        </w:rPr>
        <w:t>льного автономного учреждения дополнительного образования города Нижневартовска «Центр детского творчества» 10.10.2022 года в течение рабочего времени с 09-00 часов до 18-00 часов, находясь по адресу: ХМАО-Югра, город Нижневартовск, улица Ленина, дом 9а, д</w:t>
      </w:r>
      <w:r w:rsidRPr="00805E69">
        <w:rPr>
          <w:sz w:val="28"/>
          <w:szCs w:val="28"/>
        </w:rPr>
        <w:t>опущено нецелевое использование бюджетных средств, выразившееся в направлении полученных из бюджета города Нижневартовска средств субсидии, предоставленной на финансовое обеспечение</w:t>
      </w:r>
      <w:r w:rsidRPr="00805E69" w:rsidR="00F65F26">
        <w:rPr>
          <w:sz w:val="28"/>
          <w:szCs w:val="28"/>
        </w:rPr>
        <w:t xml:space="preserve"> выполнения муниципального задания на оказание муниципальных услуг (выполнение работ) на 2022 год, на цели, не соответствующие целям, предусмотренным в соглашении № 72 о порядке и условиях предоставлении субсидии на финансовое обеспечение выполнения муниципального задания (на 2022 год и плановый период 2023-2024 годов) на оказание муниципальных услуг (выполнение работ) от 29.12.2021 года, на основании которого бюджетные средства были предоставлены, а именно на выплату составной части заработной платы за сентябрь 2022 года четырнадцати работникам на общую сумму 123 500,00 рублей с учетом НДФЛ, начисленной в нарушение пункта 5.4 Положения о СОТ, пункта 2.1 Положения о разовой выплате, поскольку решение о разовой выплате согласно Приказу № 274-л принято при отсутствии установленного показателя - за качественное и своевременное выполнение ремонтных работ, и выплаченной в составе сумм, перечисленных на основании платежных поручений от 10.10.2022 № 1460, № 1461, № 1462 на выплату заработной платы за сентябрь 2022 года, от 10.10.2022 № 1469 на перечисление НДФЛ за сентябрь 2022 года.</w:t>
      </w:r>
    </w:p>
    <w:p w:rsidR="00105DB7" w:rsidRPr="00407BE7" w:rsidP="003323A0">
      <w:pPr>
        <w:pStyle w:val="BodyTextIndent"/>
        <w:suppressAutoHyphens/>
        <w:rPr>
          <w:sz w:val="28"/>
          <w:szCs w:val="28"/>
          <w:lang w:val="ru-RU"/>
        </w:rPr>
      </w:pPr>
      <w:r w:rsidRPr="00CB060F">
        <w:rPr>
          <w:sz w:val="28"/>
          <w:szCs w:val="28"/>
        </w:rPr>
        <w:t>Должностное лицо отдела финансового контроля контрольно-ревизионного управления администрации города Нижневартовска</w:t>
      </w:r>
      <w:r>
        <w:rPr>
          <w:sz w:val="28"/>
          <w:szCs w:val="28"/>
        </w:rPr>
        <w:t xml:space="preserve"> </w:t>
      </w:r>
      <w:r w:rsidRPr="0044029A">
        <w:rPr>
          <w:sz w:val="28"/>
          <w:szCs w:val="28"/>
        </w:rPr>
        <w:t xml:space="preserve">в судебное заседании не </w:t>
      </w:r>
      <w:r>
        <w:rPr>
          <w:sz w:val="28"/>
          <w:szCs w:val="28"/>
        </w:rPr>
        <w:t>явился</w:t>
      </w:r>
      <w:r w:rsidRPr="0044029A">
        <w:rPr>
          <w:sz w:val="28"/>
          <w:szCs w:val="28"/>
        </w:rPr>
        <w:t>, о времени и месте рассмотрения дела об административном правонарушении извещено надлежащим образом</w:t>
      </w:r>
      <w:r>
        <w:rPr>
          <w:sz w:val="26"/>
          <w:szCs w:val="26"/>
        </w:rPr>
        <w:t>.</w:t>
      </w:r>
    </w:p>
    <w:p w:rsidR="00134E0A" w:rsidP="003323A0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 w:rsidRPr="008E7F97" w:rsidR="00C5576E">
        <w:rPr>
          <w:sz w:val="28"/>
          <w:szCs w:val="28"/>
        </w:rPr>
        <w:t>рассмотрени</w:t>
      </w:r>
      <w:r>
        <w:rPr>
          <w:sz w:val="28"/>
          <w:szCs w:val="28"/>
          <w:lang w:val="ru-RU"/>
        </w:rPr>
        <w:t>и</w:t>
      </w:r>
      <w:r w:rsidRPr="008E7F97" w:rsidR="00C5576E">
        <w:rPr>
          <w:sz w:val="28"/>
          <w:szCs w:val="28"/>
        </w:rPr>
        <w:t xml:space="preserve"> </w:t>
      </w:r>
      <w:r w:rsidR="00C5576E">
        <w:rPr>
          <w:sz w:val="28"/>
          <w:szCs w:val="28"/>
        </w:rPr>
        <w:t xml:space="preserve">дела об </w:t>
      </w:r>
      <w:r w:rsidRPr="008E7F97" w:rsidR="00C5576E">
        <w:rPr>
          <w:sz w:val="28"/>
          <w:szCs w:val="28"/>
        </w:rPr>
        <w:t>административно</w:t>
      </w:r>
      <w:r w:rsidR="00C5576E">
        <w:rPr>
          <w:sz w:val="28"/>
          <w:szCs w:val="28"/>
        </w:rPr>
        <w:t xml:space="preserve">м правонарушении </w:t>
      </w:r>
      <w:r w:rsidR="002C587F">
        <w:rPr>
          <w:sz w:val="28"/>
          <w:szCs w:val="28"/>
          <w:lang w:val="ru-RU"/>
        </w:rPr>
        <w:t>Ахметзянова А.Г</w:t>
      </w:r>
      <w:r w:rsidR="00204F0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подтвердила факт нецелевого использования денежных средств.</w:t>
      </w:r>
    </w:p>
    <w:p w:rsidR="00C5576E" w:rsidRPr="0032200A" w:rsidP="003323A0">
      <w:pPr>
        <w:ind w:firstLine="540"/>
        <w:jc w:val="both"/>
        <w:rPr>
          <w:sz w:val="28"/>
          <w:szCs w:val="28"/>
        </w:rPr>
      </w:pPr>
      <w:r w:rsidRPr="00D04BE9">
        <w:rPr>
          <w:sz w:val="28"/>
          <w:szCs w:val="28"/>
        </w:rPr>
        <w:t xml:space="preserve">Мировой судья, </w:t>
      </w:r>
      <w:r w:rsidRPr="00D04BE9" w:rsidR="006869B2">
        <w:rPr>
          <w:sz w:val="28"/>
          <w:szCs w:val="28"/>
        </w:rPr>
        <w:t xml:space="preserve">выслушав лицо, привлекаемое к административной </w:t>
      </w:r>
      <w:r w:rsidRPr="006869B2" w:rsidR="006869B2">
        <w:rPr>
          <w:sz w:val="28"/>
          <w:szCs w:val="28"/>
        </w:rPr>
        <w:t xml:space="preserve">ответственности, </w:t>
      </w:r>
      <w:r w:rsidRPr="0032200A">
        <w:rPr>
          <w:sz w:val="28"/>
          <w:szCs w:val="28"/>
        </w:rPr>
        <w:t xml:space="preserve">изучив материалы дела, приходит к следующему.  </w:t>
      </w:r>
    </w:p>
    <w:p w:rsidR="006F355B" w:rsidP="003323A0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>
        <w:t xml:space="preserve">   </w:t>
      </w:r>
      <w:r>
        <w:t xml:space="preserve">        </w:t>
      </w:r>
      <w:r w:rsidRPr="004A4F20" w:rsidR="000813DF">
        <w:rPr>
          <w:sz w:val="28"/>
          <w:szCs w:val="28"/>
        </w:rPr>
        <w:t xml:space="preserve">В соответствии со статьей 15.14 Кодекса Российской Федерации об административных правонарушениях 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</w:t>
      </w:r>
      <w:r w:rsidRPr="00A47A0A" w:rsidR="000813DF">
        <w:rPr>
          <w:sz w:val="28"/>
          <w:szCs w:val="28"/>
        </w:rPr>
        <w:t>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если такое действие не содержит </w:t>
      </w:r>
      <w:hyperlink r:id="rId5" w:anchor="/document/10108000/entry/2851" w:history="1">
        <w:r w:rsidRPr="0035103B" w:rsidR="000813DF">
          <w:rPr>
            <w:rStyle w:val="Hyperlink"/>
            <w:color w:val="auto"/>
            <w:sz w:val="28"/>
            <w:szCs w:val="28"/>
            <w:u w:val="none"/>
          </w:rPr>
          <w:t xml:space="preserve">уголовно </w:t>
        </w:r>
        <w:r w:rsidRPr="0035103B" w:rsidR="000813DF">
          <w:rPr>
            <w:rStyle w:val="Hyperlink"/>
            <w:color w:val="auto"/>
            <w:sz w:val="28"/>
            <w:szCs w:val="28"/>
            <w:u w:val="none"/>
          </w:rPr>
          <w:t>наказуемого</w:t>
        </w:r>
      </w:hyperlink>
      <w:r w:rsidRPr="00A47A0A" w:rsidR="000813DF">
        <w:rPr>
          <w:sz w:val="28"/>
          <w:szCs w:val="28"/>
        </w:rPr>
        <w:t xml:space="preserve"> деяния, влечет наложение административного штрафа </w:t>
      </w:r>
      <w:r w:rsidRPr="006F355B">
        <w:rPr>
          <w:sz w:val="28"/>
          <w:szCs w:val="28"/>
        </w:rPr>
        <w:t xml:space="preserve">на должностных лиц в размере от двадцати тысяч до </w:t>
      </w:r>
      <w:r w:rsidRPr="006F355B">
        <w:rPr>
          <w:sz w:val="28"/>
          <w:szCs w:val="28"/>
        </w:rPr>
        <w:t>пятидесяти тысяч рублей или дисквалификацию на с</w:t>
      </w:r>
      <w:r>
        <w:rPr>
          <w:sz w:val="28"/>
          <w:szCs w:val="28"/>
        </w:rPr>
        <w:t>рок от одного года до трех лет.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 xml:space="preserve">Данное правонарушение характеризуется совершением конкретной платежно-расчетной </w:t>
      </w:r>
      <w:r w:rsidRPr="00156F96">
        <w:rPr>
          <w:sz w:val="28"/>
          <w:szCs w:val="28"/>
        </w:rPr>
        <w:t>операции по нецелевому расходованию бюджетных средств и завершенностью в момент осуществления оп</w:t>
      </w:r>
      <w:r w:rsidRPr="00156F96">
        <w:rPr>
          <w:sz w:val="28"/>
          <w:szCs w:val="28"/>
        </w:rPr>
        <w:t xml:space="preserve">ерации. 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</w:t>
      </w:r>
      <w:r w:rsidR="00B16B51">
        <w:rPr>
          <w:sz w:val="28"/>
          <w:szCs w:val="28"/>
        </w:rPr>
        <w:t xml:space="preserve">должностного </w:t>
      </w:r>
      <w:r w:rsidRPr="00156F96">
        <w:rPr>
          <w:sz w:val="28"/>
          <w:szCs w:val="28"/>
        </w:rPr>
        <w:t xml:space="preserve">лица </w:t>
      </w:r>
      <w:r w:rsidRPr="00805E69" w:rsidR="00276DA0">
        <w:rPr>
          <w:sz w:val="28"/>
          <w:szCs w:val="28"/>
        </w:rPr>
        <w:t>МАУДО «ЦДТ</w:t>
      </w:r>
      <w:r w:rsidR="002A62C8">
        <w:rPr>
          <w:sz w:val="28"/>
          <w:szCs w:val="28"/>
        </w:rPr>
        <w:t xml:space="preserve">» </w:t>
      </w:r>
      <w:r w:rsidR="00DC68E1">
        <w:rPr>
          <w:sz w:val="28"/>
          <w:szCs w:val="28"/>
        </w:rPr>
        <w:t>Ахметзяновой А.Г</w:t>
      </w:r>
      <w:r w:rsidR="00B16B51">
        <w:rPr>
          <w:sz w:val="28"/>
          <w:szCs w:val="28"/>
        </w:rPr>
        <w:t xml:space="preserve">. </w:t>
      </w:r>
      <w:r w:rsidRPr="00156F96">
        <w:rPr>
          <w:sz w:val="28"/>
          <w:szCs w:val="28"/>
        </w:rPr>
        <w:t>в совершении указанного административного правонарушения.</w:t>
      </w:r>
    </w:p>
    <w:p w:rsidR="0045263D" w:rsidP="004A4F20">
      <w:pPr>
        <w:autoSpaceDE w:val="0"/>
        <w:autoSpaceDN w:val="0"/>
        <w:adjustRightInd w:val="0"/>
        <w:ind w:firstLine="426"/>
        <w:jc w:val="both"/>
        <w:rPr>
          <w:rFonts w:ascii="Arial" w:hAnsi="Arial" w:eastAsiaTheme="minorHAnsi" w:cs="Arial"/>
          <w:lang w:eastAsia="en-US"/>
        </w:rPr>
      </w:pPr>
      <w:r>
        <w:rPr>
          <w:sz w:val="28"/>
          <w:szCs w:val="28"/>
        </w:rPr>
        <w:t>Оценивая доказательства в их совокупности, мировой судья квалифицирует</w:t>
      </w:r>
      <w:r w:rsidR="00B16B51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 xml:space="preserve">йствия по </w:t>
      </w:r>
      <w:r w:rsidR="008819D2">
        <w:rPr>
          <w:sz w:val="28"/>
          <w:szCs w:val="28"/>
        </w:rPr>
        <w:t>ст. 15.14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134E0A" w:rsidP="00134E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15127">
        <w:rPr>
          <w:color w:val="000000"/>
          <w:sz w:val="28"/>
          <w:szCs w:val="28"/>
        </w:rPr>
        <w:t>Решая вопрос о назначении меры ответстве</w:t>
      </w:r>
      <w:r>
        <w:rPr>
          <w:color w:val="000000"/>
          <w:sz w:val="28"/>
          <w:szCs w:val="28"/>
        </w:rPr>
        <w:t>нности, мировой судья учитывает</w:t>
      </w:r>
      <w:r w:rsidRPr="00F15127">
        <w:rPr>
          <w:color w:val="000000"/>
          <w:sz w:val="28"/>
          <w:szCs w:val="28"/>
        </w:rPr>
        <w:t xml:space="preserve"> следующее.</w:t>
      </w:r>
    </w:p>
    <w:p w:rsidR="002A62C8" w:rsidP="002A62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4.2 КоАП РФ к смягчающему вину обстоятельству мировой судья </w:t>
      </w:r>
      <w:r>
        <w:rPr>
          <w:sz w:val="28"/>
          <w:szCs w:val="28"/>
        </w:rPr>
        <w:t>относит признание вины.</w:t>
      </w:r>
    </w:p>
    <w:p w:rsidR="002A62C8" w:rsidP="002A62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2A62C8" w:rsidP="002A62C8">
      <w:pPr>
        <w:ind w:firstLine="540"/>
        <w:jc w:val="both"/>
        <w:rPr>
          <w:sz w:val="28"/>
          <w:szCs w:val="28"/>
        </w:rPr>
      </w:pPr>
      <w:r w:rsidRPr="00B85848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на</w:t>
      </w:r>
      <w:r w:rsidRPr="00B85848">
        <w:rPr>
          <w:sz w:val="28"/>
          <w:szCs w:val="28"/>
        </w:rPr>
        <w:t xml:space="preserve">личие обстоятельств, смягчающих административную ответственность, отсутствие обстоятельств, отягчающих административную ответственность, приходит к выводу, что наказание возможно назначить в размере </w:t>
      </w:r>
      <w:r w:rsidRPr="00B85848" w:rsidR="00B85848">
        <w:rPr>
          <w:color w:val="000000"/>
          <w:sz w:val="28"/>
          <w:szCs w:val="28"/>
          <w:shd w:val="clear" w:color="auto" w:fill="FFFFFF"/>
        </w:rPr>
        <w:t>административного штрафа в размере двадцати тысяч</w:t>
      </w:r>
      <w:r>
        <w:rPr>
          <w:sz w:val="28"/>
          <w:szCs w:val="28"/>
        </w:rPr>
        <w:t xml:space="preserve">. </w:t>
      </w:r>
    </w:p>
    <w:p w:rsidR="002A62C8" w:rsidRPr="008E7F97" w:rsidP="002A62C8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</w:t>
      </w:r>
      <w:r w:rsidRPr="008E7F97">
        <w:rPr>
          <w:sz w:val="28"/>
          <w:szCs w:val="28"/>
        </w:rPr>
        <w:t>одствуясь ст</w:t>
      </w:r>
      <w:r>
        <w:rPr>
          <w:sz w:val="28"/>
          <w:szCs w:val="28"/>
          <w:lang w:val="ru-RU"/>
        </w:rPr>
        <w:t>атьями</w:t>
      </w:r>
      <w:r>
        <w:rPr>
          <w:sz w:val="28"/>
          <w:szCs w:val="28"/>
        </w:rPr>
        <w:t xml:space="preserve"> 29.9, 29.10</w:t>
      </w:r>
      <w:r>
        <w:rPr>
          <w:sz w:val="28"/>
          <w:szCs w:val="28"/>
          <w:lang w:val="ru-RU"/>
        </w:rPr>
        <w:t xml:space="preserve">  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32.2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2A62C8" w:rsidRPr="008E7F97" w:rsidP="002A62C8">
      <w:pPr>
        <w:pStyle w:val="BodyTextIndent"/>
        <w:suppressAutoHyphens/>
        <w:rPr>
          <w:sz w:val="28"/>
          <w:szCs w:val="28"/>
        </w:rPr>
      </w:pPr>
    </w:p>
    <w:p w:rsidR="002A62C8" w:rsidRPr="008E7F97" w:rsidP="002A62C8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2A62C8" w:rsidP="002A62C8">
      <w:pPr>
        <w:pStyle w:val="BodyTextIndent"/>
        <w:suppressAutoHyphens/>
        <w:rPr>
          <w:sz w:val="28"/>
          <w:szCs w:val="28"/>
        </w:rPr>
      </w:pPr>
    </w:p>
    <w:p w:rsidR="002A62C8" w:rsidRPr="00051882" w:rsidP="002A62C8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иректора муниципального автономного образовательного учреждения дополнительного образования города Нижневартовска «Центр детского творчества» Ахметзянову Альбину Гаязовну</w:t>
      </w:r>
      <w:r w:rsidRPr="00051882">
        <w:rPr>
          <w:sz w:val="28"/>
          <w:szCs w:val="28"/>
          <w:lang w:val="ru-RU"/>
        </w:rPr>
        <w:t xml:space="preserve"> </w:t>
      </w:r>
      <w:r w:rsidRPr="00051882">
        <w:rPr>
          <w:sz w:val="28"/>
          <w:szCs w:val="28"/>
        </w:rPr>
        <w:t>признать виновн</w:t>
      </w:r>
      <w:r w:rsidR="00B85848">
        <w:rPr>
          <w:sz w:val="28"/>
          <w:szCs w:val="28"/>
          <w:lang w:val="ru-RU"/>
        </w:rPr>
        <w:t>ой</w:t>
      </w:r>
      <w:r w:rsidRPr="00051882">
        <w:rPr>
          <w:sz w:val="28"/>
          <w:szCs w:val="28"/>
          <w:lang w:val="ru-RU"/>
        </w:rPr>
        <w:t xml:space="preserve"> </w:t>
      </w:r>
      <w:r w:rsidRPr="00051882">
        <w:rPr>
          <w:sz w:val="28"/>
          <w:szCs w:val="28"/>
        </w:rPr>
        <w:t>в совершении административного правонарушения, предусмотренного ст.</w:t>
      </w:r>
      <w:r w:rsidRPr="00051882">
        <w:rPr>
          <w:sz w:val="28"/>
          <w:szCs w:val="28"/>
        </w:rPr>
        <w:t>1</w:t>
      </w:r>
      <w:r w:rsidRPr="00051882">
        <w:rPr>
          <w:sz w:val="28"/>
          <w:szCs w:val="28"/>
          <w:lang w:val="ru-RU"/>
        </w:rPr>
        <w:t>5</w:t>
      </w:r>
      <w:r w:rsidRPr="00051882">
        <w:rPr>
          <w:sz w:val="28"/>
          <w:szCs w:val="28"/>
        </w:rPr>
        <w:t>.</w:t>
      </w:r>
      <w:r w:rsidRPr="00051882">
        <w:rPr>
          <w:sz w:val="28"/>
          <w:szCs w:val="28"/>
          <w:lang w:val="ru-RU"/>
        </w:rPr>
        <w:t>14</w:t>
      </w:r>
      <w:r w:rsidRPr="00051882">
        <w:rPr>
          <w:sz w:val="28"/>
          <w:szCs w:val="28"/>
        </w:rPr>
        <w:t xml:space="preserve"> Кодекса Российской Федерации об административных правонарушениях, и назначить наказание в виде административного штрафа в размере </w:t>
      </w:r>
      <w:r w:rsidR="00B85848">
        <w:rPr>
          <w:sz w:val="28"/>
          <w:szCs w:val="28"/>
          <w:lang w:val="ru-RU"/>
        </w:rPr>
        <w:t>20</w:t>
      </w:r>
      <w:r w:rsidRPr="00051882">
        <w:rPr>
          <w:sz w:val="28"/>
          <w:szCs w:val="28"/>
          <w:lang w:val="ru-RU"/>
        </w:rPr>
        <w:t xml:space="preserve">000 рублей 00 копеек. </w:t>
      </w:r>
    </w:p>
    <w:p w:rsidR="002A62C8" w:rsidP="002A62C8">
      <w:pPr>
        <w:ind w:firstLine="540"/>
        <w:jc w:val="both"/>
        <w:rPr>
          <w:sz w:val="28"/>
          <w:szCs w:val="28"/>
        </w:rPr>
      </w:pPr>
      <w:r w:rsidRPr="00051882">
        <w:rPr>
          <w:sz w:val="28"/>
          <w:szCs w:val="28"/>
        </w:rPr>
        <w:t>Административный штраф подлежит уплате в УФК по Ханты-Мансийскому автономному округу - Югре (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нтрольно-счетный орган муниципального образования – счетная палата города Нижневартовска, л/счет 04873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07380</w:t>
      </w:r>
      <w:r w:rsidRPr="00051882">
        <w:rPr>
          <w:sz w:val="28"/>
          <w:szCs w:val="28"/>
        </w:rPr>
        <w:t xml:space="preserve">), </w:t>
      </w:r>
      <w:r>
        <w:rPr>
          <w:sz w:val="28"/>
          <w:szCs w:val="28"/>
        </w:rPr>
        <w:t>ИНН 8603245277</w:t>
      </w:r>
      <w:r w:rsidRPr="00051882">
        <w:rPr>
          <w:sz w:val="28"/>
          <w:szCs w:val="28"/>
        </w:rPr>
        <w:t xml:space="preserve">, КПП 860301001, </w:t>
      </w:r>
      <w:r>
        <w:rPr>
          <w:sz w:val="28"/>
          <w:szCs w:val="28"/>
        </w:rPr>
        <w:t>ОКТМО 71875000, Казн. счет</w:t>
      </w:r>
      <w:r w:rsidRPr="00051882">
        <w:rPr>
          <w:sz w:val="28"/>
          <w:szCs w:val="28"/>
        </w:rPr>
        <w:t xml:space="preserve"> 03100643000000018700 в РКЦ г. Ханты-Мансийск//УФК по Ханты-Мансийскому автономному окру</w:t>
      </w:r>
      <w:r w:rsidRPr="00051882">
        <w:rPr>
          <w:sz w:val="28"/>
          <w:szCs w:val="28"/>
        </w:rPr>
        <w:t xml:space="preserve">гу - Югре г. Ханты-Мансийск, БИК 007162163, кор/счет 40102810245370000007, КБК </w:t>
      </w:r>
      <w:r>
        <w:rPr>
          <w:sz w:val="28"/>
          <w:szCs w:val="28"/>
        </w:rPr>
        <w:t>01211601157010000140</w:t>
      </w:r>
      <w:r w:rsidRPr="00051882">
        <w:rPr>
          <w:sz w:val="28"/>
          <w:szCs w:val="26"/>
        </w:rPr>
        <w:t>.</w:t>
      </w:r>
    </w:p>
    <w:p w:rsidR="002A62C8" w:rsidRPr="001658D5" w:rsidP="002A62C8">
      <w:pPr>
        <w:ind w:right="-5" w:firstLine="540"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1658D5">
        <w:rPr>
          <w:sz w:val="28"/>
          <w:szCs w:val="28"/>
        </w:rPr>
        <w:t xml:space="preserve">рафа в законную силу либо со дня истечения срока отсрочки или срока рассрочки, предусмотренных ст. 31.5 настоящего Кодекса.  </w:t>
      </w:r>
    </w:p>
    <w:p w:rsidR="002A62C8" w:rsidRPr="00A20419" w:rsidP="002A62C8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="00DC68E1">
        <w:rPr>
          <w:sz w:val="28"/>
          <w:szCs w:val="28"/>
        </w:rPr>
        <w:t>3</w:t>
      </w:r>
      <w:r w:rsidRPr="00A20419">
        <w:rPr>
          <w:sz w:val="28"/>
          <w:szCs w:val="28"/>
        </w:rPr>
        <w:t xml:space="preserve"> Нижневартовского судебного района города ок</w:t>
      </w:r>
      <w:r w:rsidRPr="00A20419">
        <w:rPr>
          <w:sz w:val="28"/>
          <w:szCs w:val="28"/>
        </w:rPr>
        <w:t>ружного значения Нижневартовска Ханты - Мансийского автономного округа – Югры по адресу: г. Нижневартовск</w:t>
      </w:r>
      <w:r w:rsidR="00DC68E1">
        <w:rPr>
          <w:sz w:val="28"/>
          <w:szCs w:val="28"/>
        </w:rPr>
        <w:t>, ул. Нефтяников, д. 6, каб. 114</w:t>
      </w:r>
      <w:r w:rsidRPr="00A20419">
        <w:rPr>
          <w:sz w:val="28"/>
          <w:szCs w:val="28"/>
        </w:rPr>
        <w:t>.</w:t>
      </w:r>
    </w:p>
    <w:p w:rsidR="002A62C8" w:rsidRPr="00A20419" w:rsidP="002A62C8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>Неуплата административного штрафа в указанный законом срок влечет привлечение к административной ответственности по ч</w:t>
      </w:r>
      <w:r w:rsidRPr="00A20419">
        <w:rPr>
          <w:sz w:val="28"/>
          <w:szCs w:val="28"/>
        </w:rPr>
        <w:t xml:space="preserve">. 1 ст. 20.25 Кодекса РФ об административных правонарушениях. </w:t>
      </w:r>
    </w:p>
    <w:p w:rsidR="002A62C8" w:rsidRPr="008E7F97" w:rsidP="002A62C8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2A62C8" w:rsidP="002A62C8">
      <w:pPr>
        <w:ind w:firstLine="540"/>
        <w:jc w:val="both"/>
        <w:rPr>
          <w:sz w:val="28"/>
          <w:szCs w:val="28"/>
        </w:rPr>
      </w:pPr>
    </w:p>
    <w:p w:rsidR="002A62C8" w:rsidRPr="00051882" w:rsidP="002A62C8">
      <w:pPr>
        <w:ind w:firstLine="539"/>
        <w:rPr>
          <w:sz w:val="28"/>
          <w:szCs w:val="28"/>
        </w:rPr>
      </w:pPr>
      <w:r>
        <w:t>*****</w:t>
      </w:r>
      <w:r w:rsidRPr="00051882" w:rsidR="0004689F">
        <w:rPr>
          <w:sz w:val="28"/>
          <w:szCs w:val="28"/>
        </w:rPr>
        <w:t xml:space="preserve">Мировой судья </w:t>
      </w:r>
      <w:r w:rsidRPr="00051882" w:rsidR="0004689F">
        <w:rPr>
          <w:sz w:val="28"/>
          <w:szCs w:val="28"/>
        </w:rPr>
        <w:tab/>
      </w:r>
      <w:r w:rsidRPr="00051882" w:rsidR="0004689F">
        <w:rPr>
          <w:sz w:val="28"/>
          <w:szCs w:val="28"/>
        </w:rPr>
        <w:tab/>
      </w:r>
      <w:r w:rsidRPr="00051882" w:rsidR="0004689F">
        <w:rPr>
          <w:sz w:val="28"/>
          <w:szCs w:val="28"/>
        </w:rPr>
        <w:tab/>
      </w:r>
      <w:r w:rsidRPr="00051882" w:rsidR="0004689F">
        <w:rPr>
          <w:sz w:val="28"/>
          <w:szCs w:val="28"/>
        </w:rPr>
        <w:tab/>
      </w:r>
      <w:r w:rsidRPr="00051882" w:rsidR="0004689F">
        <w:rPr>
          <w:sz w:val="28"/>
          <w:szCs w:val="28"/>
        </w:rPr>
        <w:tab/>
      </w:r>
      <w:r w:rsidRPr="00051882" w:rsidR="0004689F">
        <w:rPr>
          <w:sz w:val="28"/>
          <w:szCs w:val="28"/>
        </w:rPr>
        <w:tab/>
      </w:r>
      <w:r w:rsidRPr="00051882" w:rsidR="0004689F">
        <w:rPr>
          <w:sz w:val="28"/>
          <w:szCs w:val="28"/>
        </w:rPr>
        <w:tab/>
        <w:t xml:space="preserve">   Л.И. Трифонова</w:t>
      </w:r>
    </w:p>
    <w:p w:rsidR="002A62C8" w:rsidRPr="000E4AC8" w:rsidP="002A62C8">
      <w:pPr>
        <w:ind w:firstLine="539"/>
        <w:rPr>
          <w:sz w:val="26"/>
          <w:szCs w:val="26"/>
        </w:rPr>
      </w:pPr>
    </w:p>
    <w:p w:rsidR="002A62C8" w:rsidP="002A62C8">
      <w:pPr>
        <w:ind w:right="-55"/>
        <w:jc w:val="both"/>
      </w:pPr>
    </w:p>
    <w:p w:rsidR="008D518F" w:rsidRPr="00351B2A" w:rsidP="002A62C8">
      <w:pPr>
        <w:shd w:val="clear" w:color="auto" w:fill="FFFFFF"/>
        <w:ind w:firstLine="567"/>
        <w:jc w:val="both"/>
        <w:rPr>
          <w:rFonts w:eastAsia="MS Mincho"/>
          <w:bCs/>
          <w:sz w:val="28"/>
          <w:szCs w:val="28"/>
        </w:rPr>
      </w:pPr>
    </w:p>
    <w:sectPr w:rsidSect="002A1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707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1A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E361A3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361A3" w:rsidP="00A53AF3">
    <w:pPr>
      <w:pStyle w:val="Header"/>
      <w:ind w:right="360"/>
    </w:pPr>
  </w:p>
  <w:p w:rsidR="00E361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9F14BF" w:rsidR="009F14BF">
      <w:rPr>
        <w:noProof/>
        <w:lang w:val="ru-RU"/>
      </w:rPr>
      <w:t>8</w:t>
    </w:r>
    <w:r>
      <w:fldChar w:fldCharType="end"/>
    </w:r>
  </w:p>
  <w:p w:rsidR="00E361A3">
    <w:pPr>
      <w:pStyle w:val="Header"/>
    </w:pPr>
  </w:p>
  <w:p w:rsidR="00E361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26E67F30"/>
    <w:multiLevelType w:val="multilevel"/>
    <w:tmpl w:val="66A06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69B45B6D"/>
    <w:multiLevelType w:val="multilevel"/>
    <w:tmpl w:val="67CC7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443E9"/>
    <w:rsid w:val="0004689F"/>
    <w:rsid w:val="00051882"/>
    <w:rsid w:val="00053E4A"/>
    <w:rsid w:val="00064DA1"/>
    <w:rsid w:val="00067EA3"/>
    <w:rsid w:val="000728D5"/>
    <w:rsid w:val="000778DA"/>
    <w:rsid w:val="000813DF"/>
    <w:rsid w:val="000A0953"/>
    <w:rsid w:val="000B3F62"/>
    <w:rsid w:val="000E4AC8"/>
    <w:rsid w:val="001046B4"/>
    <w:rsid w:val="00105DB7"/>
    <w:rsid w:val="001060FA"/>
    <w:rsid w:val="00134AD2"/>
    <w:rsid w:val="00134E0A"/>
    <w:rsid w:val="00156F96"/>
    <w:rsid w:val="001658D5"/>
    <w:rsid w:val="00165F89"/>
    <w:rsid w:val="0017032E"/>
    <w:rsid w:val="0018574D"/>
    <w:rsid w:val="001F5682"/>
    <w:rsid w:val="00204F09"/>
    <w:rsid w:val="0022382F"/>
    <w:rsid w:val="00276DA0"/>
    <w:rsid w:val="00295031"/>
    <w:rsid w:val="00296D9E"/>
    <w:rsid w:val="0029731F"/>
    <w:rsid w:val="002A18F7"/>
    <w:rsid w:val="002A62C8"/>
    <w:rsid w:val="002C587F"/>
    <w:rsid w:val="002E0ADD"/>
    <w:rsid w:val="002E1DBB"/>
    <w:rsid w:val="002F35AB"/>
    <w:rsid w:val="0032200A"/>
    <w:rsid w:val="003300E8"/>
    <w:rsid w:val="003323A0"/>
    <w:rsid w:val="00344637"/>
    <w:rsid w:val="0035103B"/>
    <w:rsid w:val="00351B2A"/>
    <w:rsid w:val="003559C9"/>
    <w:rsid w:val="003628C8"/>
    <w:rsid w:val="003B25D6"/>
    <w:rsid w:val="003F287A"/>
    <w:rsid w:val="00407BE7"/>
    <w:rsid w:val="00410925"/>
    <w:rsid w:val="00432360"/>
    <w:rsid w:val="0044029A"/>
    <w:rsid w:val="0045263D"/>
    <w:rsid w:val="00474236"/>
    <w:rsid w:val="00480606"/>
    <w:rsid w:val="004A4F20"/>
    <w:rsid w:val="004C1435"/>
    <w:rsid w:val="004D6EB0"/>
    <w:rsid w:val="004D79CB"/>
    <w:rsid w:val="00566599"/>
    <w:rsid w:val="00567E91"/>
    <w:rsid w:val="00597B8C"/>
    <w:rsid w:val="005D3608"/>
    <w:rsid w:val="00626B76"/>
    <w:rsid w:val="0063016B"/>
    <w:rsid w:val="00644BA6"/>
    <w:rsid w:val="00656A3E"/>
    <w:rsid w:val="006869B2"/>
    <w:rsid w:val="006A4332"/>
    <w:rsid w:val="006F355B"/>
    <w:rsid w:val="0070771A"/>
    <w:rsid w:val="00715E0A"/>
    <w:rsid w:val="00724CF8"/>
    <w:rsid w:val="0073185E"/>
    <w:rsid w:val="00747327"/>
    <w:rsid w:val="00757271"/>
    <w:rsid w:val="00805E69"/>
    <w:rsid w:val="0082151B"/>
    <w:rsid w:val="00861D9D"/>
    <w:rsid w:val="008819D2"/>
    <w:rsid w:val="008A17D8"/>
    <w:rsid w:val="008D518F"/>
    <w:rsid w:val="008E7F97"/>
    <w:rsid w:val="00922388"/>
    <w:rsid w:val="00930D3E"/>
    <w:rsid w:val="0093453B"/>
    <w:rsid w:val="00934571"/>
    <w:rsid w:val="0096346F"/>
    <w:rsid w:val="00964D94"/>
    <w:rsid w:val="009717E3"/>
    <w:rsid w:val="009819E1"/>
    <w:rsid w:val="009B13D1"/>
    <w:rsid w:val="009F14BF"/>
    <w:rsid w:val="00A00376"/>
    <w:rsid w:val="00A050D9"/>
    <w:rsid w:val="00A20419"/>
    <w:rsid w:val="00A317D5"/>
    <w:rsid w:val="00A33105"/>
    <w:rsid w:val="00A45923"/>
    <w:rsid w:val="00A47A0A"/>
    <w:rsid w:val="00A53AF3"/>
    <w:rsid w:val="00A8467B"/>
    <w:rsid w:val="00A95E2D"/>
    <w:rsid w:val="00B16B51"/>
    <w:rsid w:val="00B85848"/>
    <w:rsid w:val="00B870BE"/>
    <w:rsid w:val="00BA0DA9"/>
    <w:rsid w:val="00BC425F"/>
    <w:rsid w:val="00C1436B"/>
    <w:rsid w:val="00C23632"/>
    <w:rsid w:val="00C31F11"/>
    <w:rsid w:val="00C5576E"/>
    <w:rsid w:val="00C62ACC"/>
    <w:rsid w:val="00C63126"/>
    <w:rsid w:val="00C73ADD"/>
    <w:rsid w:val="00CB060F"/>
    <w:rsid w:val="00CB3782"/>
    <w:rsid w:val="00D04BE9"/>
    <w:rsid w:val="00D469EF"/>
    <w:rsid w:val="00D5064F"/>
    <w:rsid w:val="00D621ED"/>
    <w:rsid w:val="00D77B12"/>
    <w:rsid w:val="00D8056D"/>
    <w:rsid w:val="00D829A7"/>
    <w:rsid w:val="00D83162"/>
    <w:rsid w:val="00DC2BBD"/>
    <w:rsid w:val="00DC68E1"/>
    <w:rsid w:val="00DD03EA"/>
    <w:rsid w:val="00DD1F89"/>
    <w:rsid w:val="00DF2A82"/>
    <w:rsid w:val="00E05767"/>
    <w:rsid w:val="00E23F7F"/>
    <w:rsid w:val="00E361A3"/>
    <w:rsid w:val="00E51B82"/>
    <w:rsid w:val="00E74F17"/>
    <w:rsid w:val="00EB5988"/>
    <w:rsid w:val="00EE7CFC"/>
    <w:rsid w:val="00F15127"/>
    <w:rsid w:val="00F23C84"/>
    <w:rsid w:val="00F61BD3"/>
    <w:rsid w:val="00F65F26"/>
    <w:rsid w:val="00F6794C"/>
    <w:rsid w:val="00F804FC"/>
    <w:rsid w:val="00FA5178"/>
    <w:rsid w:val="00FB0469"/>
    <w:rsid w:val="00FD0F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0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7">
    <w:name w:val="Подпись к картинке_"/>
    <w:basedOn w:val="DefaultParagraphFont"/>
    <w:link w:val="a8"/>
    <w:rsid w:val="002A62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картинке"/>
    <w:basedOn w:val="Normal"/>
    <w:link w:val="a7"/>
    <w:rsid w:val="002A62C8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a9">
    <w:name w:val="Основной текст + Полужирный"/>
    <w:basedOn w:val="a6"/>
    <w:rsid w:val="002A6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6"/>
    <w:rsid w:val="0075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">
    <w:name w:val="Основной текст + 10 pt;Малые прописные"/>
    <w:basedOn w:val="a6"/>
    <w:rsid w:val="007572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paragraph" w:customStyle="1" w:styleId="21">
    <w:name w:val="Основной текст2"/>
    <w:basedOn w:val="Normal"/>
    <w:rsid w:val="00757271"/>
    <w:pPr>
      <w:shd w:val="clear" w:color="auto" w:fill="FFFFFF"/>
      <w:spacing w:after="240" w:line="274" w:lineRule="exact"/>
      <w:jc w:val="both"/>
    </w:pPr>
    <w:rPr>
      <w:color w:val="000000"/>
      <w:sz w:val="23"/>
      <w:szCs w:val="23"/>
      <w:lang w:val="ru" w:eastAsia="ru-RU"/>
    </w:rPr>
  </w:style>
  <w:style w:type="character" w:customStyle="1" w:styleId="3">
    <w:name w:val="Заголовок №3_"/>
    <w:basedOn w:val="DefaultParagraphFont"/>
    <w:link w:val="30"/>
    <w:rsid w:val="009345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Normal"/>
    <w:link w:val="3"/>
    <w:rsid w:val="00934571"/>
    <w:pPr>
      <w:shd w:val="clear" w:color="auto" w:fill="FFFFFF"/>
      <w:spacing w:after="60" w:line="0" w:lineRule="atLeast"/>
      <w:jc w:val="center"/>
      <w:outlineLvl w:val="2"/>
    </w:pPr>
    <w:rPr>
      <w:sz w:val="25"/>
      <w:szCs w:val="25"/>
      <w:lang w:eastAsia="en-US"/>
    </w:rPr>
  </w:style>
  <w:style w:type="character" w:customStyle="1" w:styleId="a10">
    <w:name w:val="Колонтитул_"/>
    <w:basedOn w:val="DefaultParagraphFont"/>
    <w:link w:val="a11"/>
    <w:rsid w:val="009345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10"/>
    <w:rsid w:val="009345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11">
    <w:name w:val="Колонтитул"/>
    <w:basedOn w:val="Normal"/>
    <w:link w:val="a10"/>
    <w:rsid w:val="00934571"/>
    <w:pPr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FFA7-04E0-4F33-B754-B81C08CF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